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A21D6C0"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sidR="000F4488">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093EEC">
        <w:rPr>
          <w:rFonts w:ascii="Arial" w:hAnsi="Arial" w:cs="Arial"/>
          <w:sz w:val="24"/>
          <w:szCs w:val="24"/>
        </w:rPr>
        <w:t>40</w:t>
      </w:r>
      <w:r w:rsidR="002B3512">
        <w:rPr>
          <w:rFonts w:ascii="Arial" w:hAnsi="Arial" w:cs="Arial"/>
          <w:sz w:val="24"/>
          <w:szCs w:val="24"/>
        </w:rPr>
        <w:t>5166</w:t>
      </w:r>
    </w:p>
    <w:p w14:paraId="343CE972" w14:textId="4063D44B" w:rsidR="00CB4E70" w:rsidRPr="00376830" w:rsidRDefault="000F4488"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 15</w:t>
      </w:r>
      <w:r w:rsidRPr="000F4488">
        <w:rPr>
          <w:rFonts w:ascii="Arial" w:hAnsi="Arial" w:cs="Arial"/>
          <w:sz w:val="24"/>
          <w:szCs w:val="24"/>
          <w:vertAlign w:val="superscript"/>
          <w:lang w:eastAsia="zh-CN"/>
        </w:rPr>
        <w:t>th</w:t>
      </w:r>
      <w:r w:rsidR="00172130">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sidR="00E4754F">
        <w:rPr>
          <w:rFonts w:ascii="Arial" w:hAnsi="Arial" w:cs="Arial"/>
          <w:sz w:val="24"/>
          <w:szCs w:val="24"/>
          <w:lang w:eastAsia="zh-CN"/>
        </w:rPr>
        <w:t>19</w:t>
      </w:r>
      <w:r w:rsidRPr="000F4488">
        <w:rPr>
          <w:rFonts w:ascii="Arial" w:hAnsi="Arial" w:cs="Arial"/>
          <w:sz w:val="24"/>
          <w:szCs w:val="24"/>
          <w:vertAlign w:val="superscript"/>
          <w:lang w:eastAsia="zh-CN"/>
        </w:rPr>
        <w:t>th</w:t>
      </w:r>
      <w:r>
        <w:rPr>
          <w:rFonts w:ascii="Arial" w:hAnsi="Arial" w:cs="Arial"/>
          <w:sz w:val="24"/>
          <w:szCs w:val="24"/>
          <w:lang w:eastAsia="zh-CN"/>
        </w:rPr>
        <w:t xml:space="preserve"> </w:t>
      </w:r>
      <w:r w:rsidR="00172130">
        <w:rPr>
          <w:rFonts w:ascii="Arial" w:hAnsi="Arial" w:cs="Arial"/>
          <w:sz w:val="24"/>
          <w:szCs w:val="24"/>
          <w:lang w:eastAsia="zh-CN"/>
        </w:rPr>
        <w:t>,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895896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42851">
        <w:rPr>
          <w:rFonts w:ascii="Arial" w:hAnsi="Arial" w:cs="Arial"/>
          <w:sz w:val="24"/>
          <w:lang w:val="en-US"/>
        </w:rPr>
        <w:t xml:space="preserve">Discussion on remaining issues for UE </w:t>
      </w:r>
      <w:proofErr w:type="spellStart"/>
      <w:r w:rsidR="00242851">
        <w:rPr>
          <w:rFonts w:ascii="Arial" w:hAnsi="Arial" w:cs="Arial"/>
          <w:sz w:val="24"/>
          <w:lang w:val="en-US"/>
        </w:rPr>
        <w:t>demod</w:t>
      </w:r>
      <w:proofErr w:type="spellEnd"/>
      <w:r w:rsidR="00242851">
        <w:rPr>
          <w:rFonts w:ascii="Arial" w:hAnsi="Arial" w:cs="Arial"/>
          <w:sz w:val="24"/>
          <w:lang w:val="en-US"/>
        </w:rPr>
        <w:t xml:space="preserve"> for less than 5MHz</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364B71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F1D1F">
        <w:rPr>
          <w:rFonts w:ascii="Arial" w:hAnsi="Arial" w:cs="Arial"/>
          <w:sz w:val="24"/>
          <w:lang w:val="pt-BR"/>
        </w:rPr>
        <w:t>6.8.7.1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25C5DF91" w:rsidR="00683DFF" w:rsidRPr="00023F5D" w:rsidRDefault="00575C69" w:rsidP="00CE2A55">
      <w:pPr>
        <w:pStyle w:val="25"/>
        <w:spacing w:after="120"/>
        <w:rPr>
          <w:rFonts w:eastAsiaTheme="minorEastAsia"/>
        </w:rPr>
      </w:pPr>
      <w:r>
        <w:rPr>
          <w:rFonts w:eastAsiaTheme="minorEastAsia" w:hint="eastAsia"/>
        </w:rPr>
        <w:t>I</w:t>
      </w:r>
      <w:r>
        <w:rPr>
          <w:rFonts w:eastAsiaTheme="minorEastAsia"/>
        </w:rPr>
        <w:t>n last meeting, WF</w:t>
      </w:r>
      <w:r w:rsidR="00CC136F">
        <w:rPr>
          <w:rFonts w:eastAsiaTheme="minorEastAsia"/>
        </w:rPr>
        <w:t xml:space="preserve"> [1]</w:t>
      </w:r>
      <w:r>
        <w:rPr>
          <w:rFonts w:eastAsiaTheme="minorEastAsia"/>
        </w:rPr>
        <w:t xml:space="preserve"> on FR1 less than 5MHz demodulation requirements was agreed</w:t>
      </w:r>
      <w:r w:rsidR="00242851">
        <w:rPr>
          <w:rFonts w:eastAsiaTheme="minorEastAsia"/>
        </w:rPr>
        <w:t xml:space="preserve"> and some open issues are left</w:t>
      </w:r>
      <w:r>
        <w:rPr>
          <w:rFonts w:eastAsiaTheme="minorEastAsia"/>
        </w:rPr>
        <w:t>.</w:t>
      </w:r>
      <w:r w:rsidR="00242851">
        <w:rPr>
          <w:rFonts w:eastAsiaTheme="minorEastAsia"/>
        </w:rPr>
        <w:t xml:space="preserve"> This contribution </w:t>
      </w:r>
      <w:proofErr w:type="gramStart"/>
      <w:r w:rsidR="00242851">
        <w:rPr>
          <w:rFonts w:eastAsiaTheme="minorEastAsia"/>
        </w:rPr>
        <w:t>provide</w:t>
      </w:r>
      <w:proofErr w:type="gramEnd"/>
      <w:r w:rsidR="00242851">
        <w:rPr>
          <w:rFonts w:eastAsiaTheme="minorEastAsia"/>
        </w:rPr>
        <w:t xml:space="preserve"> our views on remaining issues.</w:t>
      </w:r>
    </w:p>
    <w:bookmarkEnd w:id="2"/>
    <w:p w14:paraId="049FEAB2" w14:textId="61C1AB03" w:rsidR="00242851" w:rsidRDefault="00242851" w:rsidP="00242851">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3C764993" w14:textId="0B1F6298" w:rsidR="00242851" w:rsidRDefault="00242851" w:rsidP="00242851">
      <w:pPr>
        <w:pStyle w:val="proposal"/>
        <w:spacing w:after="120"/>
        <w:rPr>
          <w:rFonts w:eastAsiaTheme="minorEastAsia"/>
          <w:b w:val="0"/>
          <w:bCs/>
        </w:rPr>
      </w:pPr>
      <w:r>
        <w:rPr>
          <w:rFonts w:eastAsiaTheme="minorEastAsia" w:hint="eastAsia"/>
          <w:b w:val="0"/>
          <w:bCs/>
        </w:rPr>
        <w:t>O</w:t>
      </w:r>
      <w:r>
        <w:rPr>
          <w:rFonts w:eastAsiaTheme="minorEastAsia"/>
          <w:b w:val="0"/>
          <w:bCs/>
        </w:rPr>
        <w:t>ne issue is whether to define PDCCH requirements in HST conditions</w:t>
      </w:r>
      <w:r>
        <w:rPr>
          <w:rFonts w:eastAsiaTheme="minorEastAsia" w:hint="eastAsia"/>
          <w:b w:val="0"/>
          <w:bCs/>
        </w:rPr>
        <w:t>:</w:t>
      </w:r>
    </w:p>
    <w:tbl>
      <w:tblPr>
        <w:tblStyle w:val="af7"/>
        <w:tblW w:w="0" w:type="auto"/>
        <w:tblLook w:val="04A0" w:firstRow="1" w:lastRow="0" w:firstColumn="1" w:lastColumn="0" w:noHBand="0" w:noVBand="1"/>
      </w:tblPr>
      <w:tblGrid>
        <w:gridCol w:w="10457"/>
      </w:tblGrid>
      <w:tr w:rsidR="00242851" w:rsidRPr="007A363D" w14:paraId="734A1DA3" w14:textId="77777777" w:rsidTr="00242851">
        <w:tc>
          <w:tcPr>
            <w:tcW w:w="10457" w:type="dxa"/>
          </w:tcPr>
          <w:p w14:paraId="277F453E" w14:textId="77777777" w:rsidR="00242851" w:rsidRPr="007A363D" w:rsidRDefault="00242851" w:rsidP="00242851">
            <w:pPr>
              <w:spacing w:after="0"/>
            </w:pPr>
            <w:r w:rsidRPr="007A363D">
              <w:rPr>
                <w:rFonts w:eastAsia="宋体"/>
                <w:b/>
                <w:bCs/>
                <w:szCs w:val="24"/>
                <w:u w:val="single"/>
                <w:lang w:eastAsia="zh-CN"/>
              </w:rPr>
              <w:t>Issue 1-3-3: PDCCH requirements in HST conditions</w:t>
            </w:r>
          </w:p>
          <w:p w14:paraId="589015F7" w14:textId="77777777" w:rsidR="00242851" w:rsidRPr="007A363D" w:rsidRDefault="00242851" w:rsidP="00242851">
            <w:pPr>
              <w:spacing w:after="0"/>
            </w:pPr>
            <w:r w:rsidRPr="007A363D">
              <w:t>Way forward:</w:t>
            </w:r>
          </w:p>
          <w:p w14:paraId="2AA798A5" w14:textId="77777777" w:rsidR="00242851" w:rsidRPr="007A363D" w:rsidRDefault="00242851" w:rsidP="00242851">
            <w:pPr>
              <w:spacing w:after="0"/>
            </w:pPr>
            <w:r w:rsidRPr="007A363D">
              <w:t>Further discussion is needed:</w:t>
            </w:r>
          </w:p>
          <w:p w14:paraId="7A97CBB4" w14:textId="77777777" w:rsidR="00242851" w:rsidRPr="007A363D" w:rsidRDefault="00242851" w:rsidP="00242851">
            <w:pPr>
              <w:pStyle w:val="afd"/>
              <w:widowControl/>
              <w:numPr>
                <w:ilvl w:val="0"/>
                <w:numId w:val="34"/>
              </w:numPr>
              <w:autoSpaceDE/>
              <w:autoSpaceDN/>
              <w:adjustRightInd/>
              <w:contextualSpacing w:val="0"/>
              <w:rPr>
                <w:rFonts w:eastAsia="宋体"/>
                <w:szCs w:val="24"/>
              </w:rPr>
            </w:pPr>
            <w:r w:rsidRPr="007A363D">
              <w:rPr>
                <w:rFonts w:eastAsia="宋体"/>
                <w:szCs w:val="24"/>
              </w:rPr>
              <w:t>Option 1: Introduce PDCCH requirements at 3MHz CBW in HST conditions.</w:t>
            </w:r>
          </w:p>
          <w:p w14:paraId="2213F927" w14:textId="34D89765" w:rsidR="00242851" w:rsidRPr="007A363D" w:rsidRDefault="00242851" w:rsidP="00242851">
            <w:pPr>
              <w:pStyle w:val="afd"/>
              <w:widowControl/>
              <w:numPr>
                <w:ilvl w:val="0"/>
                <w:numId w:val="34"/>
              </w:numPr>
              <w:overflowPunct w:val="0"/>
              <w:spacing w:before="120"/>
              <w:contextualSpacing w:val="0"/>
              <w:textAlignment w:val="baseline"/>
              <w:rPr>
                <w:rFonts w:eastAsia="Yu Mincho"/>
              </w:rPr>
            </w:pPr>
            <w:r w:rsidRPr="007A363D">
              <w:rPr>
                <w:rFonts w:eastAsia="宋体"/>
                <w:szCs w:val="24"/>
              </w:rPr>
              <w:t>Option 2: Not to introduce HST scenario for PDCCH requirements.</w:t>
            </w:r>
          </w:p>
        </w:tc>
      </w:tr>
    </w:tbl>
    <w:p w14:paraId="035D6C1A" w14:textId="77777777" w:rsidR="00242851" w:rsidRDefault="00242851" w:rsidP="00242851">
      <w:pPr>
        <w:pStyle w:val="proposal"/>
        <w:spacing w:after="120"/>
        <w:rPr>
          <w:rFonts w:eastAsiaTheme="minorEastAsia"/>
          <w:b w:val="0"/>
          <w:bCs/>
        </w:rPr>
      </w:pPr>
      <w:r w:rsidRPr="007A363D">
        <w:rPr>
          <w:rFonts w:eastAsiaTheme="minorEastAsia" w:hint="eastAsia"/>
          <w:b w:val="0"/>
          <w:bCs/>
        </w:rPr>
        <w:t>P</w:t>
      </w:r>
      <w:r w:rsidRPr="007A363D">
        <w:rPr>
          <w:rFonts w:eastAsiaTheme="minorEastAsia"/>
          <w:b w:val="0"/>
          <w:bCs/>
        </w:rPr>
        <w:t xml:space="preserve">DCCH </w:t>
      </w:r>
      <w:r w:rsidRPr="007A363D">
        <w:rPr>
          <w:rFonts w:eastAsiaTheme="minorEastAsia" w:hint="eastAsia"/>
          <w:b w:val="0"/>
          <w:bCs/>
        </w:rPr>
        <w:t>has</w:t>
      </w:r>
      <w:r w:rsidRPr="007A363D">
        <w:rPr>
          <w:rFonts w:eastAsiaTheme="minorEastAsia"/>
          <w:b w:val="0"/>
          <w:bCs/>
        </w:rPr>
        <w:t xml:space="preserve"> dense DMRS symbols in time domain, low modulation order and low code-rate, which means performance can be guaranteed in high Doppler scenario, we don’t see th</w:t>
      </w:r>
      <w:r>
        <w:rPr>
          <w:rFonts w:eastAsiaTheme="minorEastAsia"/>
          <w:b w:val="0"/>
          <w:bCs/>
        </w:rPr>
        <w:t>e necessity to consider such case.</w:t>
      </w:r>
    </w:p>
    <w:p w14:paraId="3C24FDE8" w14:textId="3AD8357D" w:rsidR="00242851" w:rsidRDefault="00242851" w:rsidP="00242851">
      <w:pPr>
        <w:pStyle w:val="proposal"/>
        <w:spacing w:after="120"/>
        <w:rPr>
          <w:rFonts w:eastAsiaTheme="minorEastAsia"/>
        </w:rPr>
      </w:pPr>
      <w:r w:rsidRPr="00BE1FD7">
        <w:rPr>
          <w:rFonts w:eastAsiaTheme="minorEastAsia"/>
        </w:rPr>
        <w:t xml:space="preserve">Proposal 1: Not </w:t>
      </w:r>
      <w:r w:rsidR="00BE1FD7">
        <w:rPr>
          <w:rFonts w:eastAsiaTheme="minorEastAsia"/>
        </w:rPr>
        <w:t>i</w:t>
      </w:r>
      <w:r w:rsidRPr="00BE1FD7">
        <w:rPr>
          <w:rFonts w:eastAsiaTheme="minorEastAsia"/>
        </w:rPr>
        <w:t xml:space="preserve">ntroduce PDCCH requirements </w:t>
      </w:r>
      <w:r w:rsidR="00BE1FD7" w:rsidRPr="00BE1FD7">
        <w:rPr>
          <w:rFonts w:eastAsiaTheme="minorEastAsia"/>
        </w:rPr>
        <w:t>at 3MHz CBW in HST conditions.</w:t>
      </w:r>
      <w:r w:rsidRPr="00BE1FD7">
        <w:rPr>
          <w:rFonts w:eastAsiaTheme="minorEastAsia"/>
        </w:rPr>
        <w:t xml:space="preserve"> </w:t>
      </w:r>
    </w:p>
    <w:p w14:paraId="0B0058E2" w14:textId="07D818BB" w:rsidR="008B6D59" w:rsidRDefault="008B6D59" w:rsidP="00242851">
      <w:pPr>
        <w:pStyle w:val="proposal"/>
        <w:spacing w:after="120"/>
        <w:rPr>
          <w:rFonts w:eastAsiaTheme="minorEastAsia"/>
          <w:b w:val="0"/>
          <w:bCs/>
        </w:rPr>
      </w:pPr>
      <w:r w:rsidRPr="008B6D59">
        <w:rPr>
          <w:rFonts w:eastAsiaTheme="minorEastAsia"/>
          <w:b w:val="0"/>
          <w:bCs/>
        </w:rPr>
        <w:t xml:space="preserve">The </w:t>
      </w:r>
      <w:r>
        <w:rPr>
          <w:rFonts w:eastAsiaTheme="minorEastAsia"/>
          <w:b w:val="0"/>
          <w:bCs/>
        </w:rPr>
        <w:t>other issue is the number of Tx, all existing PDCCH test cases cover both 1Tx and 2</w:t>
      </w:r>
      <w:proofErr w:type="gramStart"/>
      <w:r>
        <w:rPr>
          <w:rFonts w:eastAsiaTheme="minorEastAsia"/>
          <w:b w:val="0"/>
          <w:bCs/>
        </w:rPr>
        <w:t>Tx ,</w:t>
      </w:r>
      <w:proofErr w:type="gramEnd"/>
      <w:r>
        <w:rPr>
          <w:rFonts w:eastAsiaTheme="minorEastAsia"/>
          <w:b w:val="0"/>
          <w:bCs/>
        </w:rPr>
        <w:t xml:space="preserve"> we slightly keep consistency with existing PDCCH cases and cover both 1Tx and 2Tx.</w:t>
      </w:r>
    </w:p>
    <w:p w14:paraId="083971A3" w14:textId="3E050837" w:rsidR="008B6D59" w:rsidRPr="008B6D59" w:rsidRDefault="008B6D59" w:rsidP="00242851">
      <w:pPr>
        <w:pStyle w:val="proposal"/>
        <w:spacing w:after="120"/>
        <w:rPr>
          <w:rFonts w:eastAsiaTheme="minorEastAsia"/>
          <w:b w:val="0"/>
          <w:bCs/>
        </w:rPr>
      </w:pPr>
      <w:r w:rsidRPr="00BE1FD7">
        <w:rPr>
          <w:rFonts w:eastAsiaTheme="minorEastAsia"/>
        </w:rPr>
        <w:t xml:space="preserve">Proposal </w:t>
      </w:r>
      <w:r>
        <w:rPr>
          <w:rFonts w:eastAsiaTheme="minorEastAsia"/>
        </w:rPr>
        <w:t>2</w:t>
      </w:r>
      <w:r w:rsidRPr="00BE1FD7">
        <w:rPr>
          <w:rFonts w:eastAsiaTheme="minorEastAsia"/>
        </w:rPr>
        <w:t xml:space="preserve">: </w:t>
      </w:r>
      <w:r>
        <w:rPr>
          <w:rFonts w:eastAsiaTheme="minorEastAsia"/>
        </w:rPr>
        <w:t>Cover both 1Tx and 2Tx for punctured PDCCH requirements.</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778DBD44" w14:textId="043411B4" w:rsidR="00E30090" w:rsidRDefault="00E05DDE" w:rsidP="0016071F">
      <w:pPr>
        <w:pStyle w:val="proposal"/>
        <w:spacing w:after="120"/>
      </w:pPr>
      <w:r>
        <w:rPr>
          <w:rFonts w:eastAsiaTheme="minorEastAsia"/>
          <w:b w:val="0"/>
          <w:bCs/>
        </w:rPr>
        <w:t xml:space="preserve">This contribution provides </w:t>
      </w:r>
      <w:r w:rsidR="0016071F">
        <w:rPr>
          <w:rFonts w:eastAsiaTheme="minorEastAsia"/>
          <w:b w:val="0"/>
          <w:bCs/>
        </w:rPr>
        <w:t>the simulation results for punctured PDCCH requirements.</w:t>
      </w:r>
      <w:r w:rsidR="00E30090" w:rsidRPr="00BE1FD7">
        <w:rPr>
          <w:rFonts w:eastAsiaTheme="minorEastAsia"/>
          <w:b w:val="0"/>
          <w:bCs/>
        </w:rPr>
        <w:t xml:space="preserve"> </w:t>
      </w:r>
      <w:r w:rsidR="00BE1FD7" w:rsidRPr="00BE1FD7">
        <w:rPr>
          <w:rFonts w:eastAsiaTheme="minorEastAsia"/>
          <w:b w:val="0"/>
          <w:bCs/>
        </w:rPr>
        <w:t>The proposals are:</w:t>
      </w:r>
    </w:p>
    <w:p w14:paraId="5C97CC14" w14:textId="52005B81" w:rsidR="00BE1FD7" w:rsidRDefault="00BE1FD7" w:rsidP="0016071F">
      <w:pPr>
        <w:pStyle w:val="proposal"/>
        <w:spacing w:after="120"/>
        <w:rPr>
          <w:rFonts w:eastAsiaTheme="minorEastAsia"/>
        </w:rPr>
      </w:pPr>
      <w:r w:rsidRPr="00BE1FD7">
        <w:rPr>
          <w:rFonts w:eastAsiaTheme="minorEastAsia"/>
        </w:rPr>
        <w:t xml:space="preserve">Proposal 1: Not </w:t>
      </w:r>
      <w:r>
        <w:rPr>
          <w:rFonts w:eastAsiaTheme="minorEastAsia"/>
        </w:rPr>
        <w:t>i</w:t>
      </w:r>
      <w:r w:rsidRPr="00BE1FD7">
        <w:rPr>
          <w:rFonts w:eastAsiaTheme="minorEastAsia"/>
        </w:rPr>
        <w:t xml:space="preserve">ntroduce PDCCH requirements at 3MHz CBW in HST conditions. </w:t>
      </w:r>
    </w:p>
    <w:p w14:paraId="72C33A8D" w14:textId="0B6C83CC" w:rsidR="008B6D59" w:rsidRPr="008B6D59" w:rsidRDefault="008B6D59" w:rsidP="0016071F">
      <w:pPr>
        <w:pStyle w:val="proposal"/>
        <w:spacing w:after="120"/>
        <w:rPr>
          <w:rFonts w:eastAsiaTheme="minorEastAsia"/>
          <w:b w:val="0"/>
          <w:bCs/>
        </w:rPr>
      </w:pPr>
      <w:r w:rsidRPr="00BE1FD7">
        <w:rPr>
          <w:rFonts w:eastAsiaTheme="minorEastAsia"/>
        </w:rPr>
        <w:t xml:space="preserve">Proposal </w:t>
      </w:r>
      <w:r>
        <w:rPr>
          <w:rFonts w:eastAsiaTheme="minorEastAsia"/>
        </w:rPr>
        <w:t>2</w:t>
      </w:r>
      <w:r w:rsidRPr="00BE1FD7">
        <w:rPr>
          <w:rFonts w:eastAsiaTheme="minorEastAsia"/>
        </w:rPr>
        <w:t xml:space="preserve">: </w:t>
      </w:r>
      <w:r>
        <w:rPr>
          <w:rFonts w:eastAsiaTheme="minorEastAsia"/>
        </w:rPr>
        <w:t>Cover both 1Tx and 2Tx for punctured PDCCH requirements.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F303294" w:rsidR="00023F5D" w:rsidRPr="00CC136F" w:rsidRDefault="00023F5D" w:rsidP="00023F5D">
      <w:pPr>
        <w:rPr>
          <w:rFonts w:eastAsiaTheme="minorEastAsia"/>
          <w:bCs/>
          <w:lang w:eastAsia="zh-CN"/>
        </w:rPr>
      </w:pPr>
      <w:r w:rsidRPr="00CC136F">
        <w:rPr>
          <w:rFonts w:eastAsiaTheme="minorEastAsia"/>
          <w:bCs/>
          <w:lang w:eastAsia="zh-CN"/>
        </w:rPr>
        <w:t xml:space="preserve">[1]    </w:t>
      </w:r>
      <w:r w:rsidR="00CC136F" w:rsidRPr="00CC136F">
        <w:rPr>
          <w:rFonts w:eastAsiaTheme="minorEastAsia"/>
          <w:bCs/>
          <w:lang w:eastAsia="zh-CN"/>
        </w:rPr>
        <w:t>R4-2402863</w:t>
      </w:r>
      <w:r w:rsidR="000A2596" w:rsidRPr="00CC136F">
        <w:rPr>
          <w:rFonts w:eastAsiaTheme="minorEastAsia"/>
          <w:bCs/>
          <w:lang w:eastAsia="zh-CN"/>
        </w:rPr>
        <w:t xml:space="preserve"> WF on NR_FR1_lessthan_5MHz_BW_demod</w:t>
      </w:r>
      <w:r w:rsidR="00CC136F">
        <w:rPr>
          <w:rFonts w:eastAsiaTheme="minorEastAsia"/>
          <w:bCs/>
          <w:lang w:eastAsia="zh-CN"/>
        </w:rPr>
        <w:t>. Nokia, Nokia Shanghai Bell.</w:t>
      </w:r>
    </w:p>
    <w:sectPr w:rsidR="00023F5D" w:rsidRPr="00CC136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3AB8" w14:textId="77777777" w:rsidR="000F2914" w:rsidRDefault="000F2914">
      <w:r>
        <w:separator/>
      </w:r>
    </w:p>
  </w:endnote>
  <w:endnote w:type="continuationSeparator" w:id="0">
    <w:p w14:paraId="7EB17E4E" w14:textId="77777777" w:rsidR="000F2914" w:rsidRDefault="000F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54D47" w14:textId="77777777" w:rsidR="000F2914" w:rsidRDefault="000F2914">
      <w:r>
        <w:separator/>
      </w:r>
    </w:p>
  </w:footnote>
  <w:footnote w:type="continuationSeparator" w:id="0">
    <w:p w14:paraId="71EE2208" w14:textId="77777777" w:rsidR="000F2914" w:rsidRDefault="000F2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8"/>
  </w:num>
  <w:num w:numId="4">
    <w:abstractNumId w:val="32"/>
  </w:num>
  <w:num w:numId="5">
    <w:abstractNumId w:val="18"/>
  </w:num>
  <w:num w:numId="6">
    <w:abstractNumId w:val="2"/>
  </w:num>
  <w:num w:numId="7">
    <w:abstractNumId w:val="5"/>
  </w:num>
  <w:num w:numId="8">
    <w:abstractNumId w:val="12"/>
  </w:num>
  <w:num w:numId="9">
    <w:abstractNumId w:val="14"/>
  </w:num>
  <w:num w:numId="10">
    <w:abstractNumId w:val="23"/>
  </w:num>
  <w:num w:numId="11">
    <w:abstractNumId w:val="30"/>
  </w:num>
  <w:num w:numId="12">
    <w:abstractNumId w:val="9"/>
  </w:num>
  <w:num w:numId="13">
    <w:abstractNumId w:val="19"/>
  </w:num>
  <w:num w:numId="14">
    <w:abstractNumId w:val="6"/>
  </w:num>
  <w:num w:numId="15">
    <w:abstractNumId w:val="11"/>
  </w:num>
  <w:num w:numId="16">
    <w:abstractNumId w:val="13"/>
  </w:num>
  <w:num w:numId="17">
    <w:abstractNumId w:val="11"/>
  </w:num>
  <w:num w:numId="18">
    <w:abstractNumId w:val="11"/>
  </w:num>
  <w:num w:numId="19">
    <w:abstractNumId w:val="11"/>
  </w:num>
  <w:num w:numId="20">
    <w:abstractNumId w:val="22"/>
  </w:num>
  <w:num w:numId="21">
    <w:abstractNumId w:val="21"/>
  </w:num>
  <w:num w:numId="22">
    <w:abstractNumId w:val="8"/>
  </w:num>
  <w:num w:numId="23">
    <w:abstractNumId w:val="0"/>
  </w:num>
  <w:num w:numId="24">
    <w:abstractNumId w:val="31"/>
  </w:num>
  <w:num w:numId="25">
    <w:abstractNumId w:val="3"/>
  </w:num>
  <w:num w:numId="26">
    <w:abstractNumId w:val="3"/>
  </w:num>
  <w:num w:numId="27">
    <w:abstractNumId w:val="9"/>
  </w:num>
  <w:num w:numId="28">
    <w:abstractNumId w:val="27"/>
  </w:num>
  <w:num w:numId="29">
    <w:abstractNumId w:val="1"/>
  </w:num>
  <w:num w:numId="30">
    <w:abstractNumId w:val="26"/>
  </w:num>
  <w:num w:numId="31">
    <w:abstractNumId w:val="20"/>
  </w:num>
  <w:num w:numId="32">
    <w:abstractNumId w:val="29"/>
  </w:num>
  <w:num w:numId="33">
    <w:abstractNumId w:val="24"/>
  </w:num>
  <w:num w:numId="34">
    <w:abstractNumId w:val="17"/>
  </w:num>
  <w:num w:numId="35">
    <w:abstractNumId w:val="25"/>
  </w:num>
  <w:num w:numId="36">
    <w:abstractNumId w:val="15"/>
  </w:num>
  <w:num w:numId="37">
    <w:abstractNumId w:val="11"/>
  </w:num>
  <w:num w:numId="38">
    <w:abstractNumId w:val="21"/>
  </w:num>
  <w:num w:numId="39">
    <w:abstractNumId w:val="16"/>
  </w:num>
  <w:num w:numId="40">
    <w:abstractNumId w:val="21"/>
  </w:num>
  <w:num w:numId="41">
    <w:abstractNumId w:val="7"/>
  </w:num>
  <w:num w:numId="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6"/>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0C9A"/>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3EEC"/>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596"/>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9E1"/>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2914"/>
    <w:rsid w:val="000F30B1"/>
    <w:rsid w:val="000F446E"/>
    <w:rsid w:val="000F4488"/>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71F"/>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851"/>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3512"/>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B4B"/>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1D9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5E4E"/>
    <w:rsid w:val="003664E4"/>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B53"/>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3FB"/>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615"/>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F8"/>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5C69"/>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1D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F19"/>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3A"/>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5E8A"/>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2BCD"/>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63D"/>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849"/>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6D59"/>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0D6"/>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6BCC"/>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5922"/>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261F"/>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E48"/>
    <w:rsid w:val="00B21279"/>
    <w:rsid w:val="00B21E5B"/>
    <w:rsid w:val="00B221A4"/>
    <w:rsid w:val="00B22C13"/>
    <w:rsid w:val="00B2333A"/>
    <w:rsid w:val="00B235F4"/>
    <w:rsid w:val="00B248D5"/>
    <w:rsid w:val="00B25CE6"/>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820"/>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1FD7"/>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36F"/>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1D1F"/>
    <w:rsid w:val="00CF2651"/>
    <w:rsid w:val="00CF4BDA"/>
    <w:rsid w:val="00CF5168"/>
    <w:rsid w:val="00CF5BAD"/>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090"/>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4F"/>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4B6"/>
    <w:rsid w:val="00E9390D"/>
    <w:rsid w:val="00E955F1"/>
    <w:rsid w:val="00E958A7"/>
    <w:rsid w:val="00E9713D"/>
    <w:rsid w:val="00E973A9"/>
    <w:rsid w:val="00EA152F"/>
    <w:rsid w:val="00EA1FBE"/>
    <w:rsid w:val="00EA2128"/>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45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808E-5331-4175-91C8-87F98A00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2024-02-17T03:46:00Z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(3)c/TcgdCF9CKcmXO6Unuyhb1KAdr3X9/9aUnqyAjfE1yREM4Z3FJgIUYrNXu6OSAhr0eiBMM3
pjOpgW8tUq3Y0ZOiFtEZWqdrQsJhWgE2ZrbIXv3Gu49x+FzTvSAAayMTwZe4H/N5k18DGBr8
MeLWoGKdaUkJ54BjWKiQE4Ceq34B49rNMxJfoqgQ3Vajl+QlVWMc811FODFG1RyCnJBQsofC
yDJjVNOkt6iU4vSD1M</vt:lpwstr>
  </property>
  <property fmtid="{D5CDD505-2E9C-101B-9397-08002B2CF9AE}" pid="17" name="_2015_ms_pID_725343_00">
    <vt:lpwstr>_2015_ms_pID_725343</vt:lpwstr>
  </property>
  <property fmtid="{D5CDD505-2E9C-101B-9397-08002B2CF9AE}" pid="18" name="_2015_ms_pID_7253431">
    <vt:lpwstr>scR/pnKLmYeRy80sLQHka9oc3kSfBam8SNrbNk+AiIfPrBOp6n0Awn
elGCaiQCOzzS3U/tnbuYk8ExcacgirdDKTG7McGTnUmgRdEv8AR69RSIpTuiszTMoz05DDB8
WFuWmCCompSgfcPPIgTeTgtEdbtZkhyDQXJizAVoBnVqQOGWUH/4N3UpXOeTu+WZgCCn/2w9
BxTqJjheltO1iQa9eU8jOisCnqErgc3/nYQO</vt:lpwstr>
  </property>
  <property fmtid="{D5CDD505-2E9C-101B-9397-08002B2CF9AE}" pid="19" name="_2015_ms_pID_7253431_00">
    <vt:lpwstr>_2015_ms_pID_7253431</vt:lpwstr>
  </property>
  <property fmtid="{D5CDD505-2E9C-101B-9397-08002B2CF9AE}" pid="20" name="_2015_ms_pID_7253432">
    <vt:lpwstr>fHE4LMqhn1+Wcf/ZkdtZlz+KgA2yPfmJSi3S
dhjaGZ2LJiQBDihUaL9KEnq6rHzl2hdhF8t8jHmyaryGETKDgP0=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